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AI上线与算法备案适用性自查表</w:t>
      </w:r>
    </w:p>
    <w:p>
      <w:r>
        <w:t>从实际功能与服务对象核对义务，不把使用AI直接等同于必须备案。</w:t>
      </w:r>
    </w:p>
    <w:p>
      <w:pPr>
        <w:pStyle w:val="Heading1"/>
      </w:pPr>
      <w:r>
        <w:t>业务事实</w:t>
      </w:r>
    </w:p>
    <w:p>
      <w:r>
        <w:t>□ 产品、上线主体、目标用户、服务地区和上线日期：________</w:t>
      </w:r>
    </w:p>
    <w:p>
      <w:r>
        <w:t>□ 面向公众还是仅内部使用；自研、调用API、部署和模型来源：________</w:t>
      </w:r>
    </w:p>
    <w:p>
      <w:r>
        <w:t>□ 是否存在算法推荐、生成合成、深度合成或拟人化互动等功能：________</w:t>
      </w:r>
    </w:p>
    <w:p>
      <w:pPr>
        <w:pStyle w:val="Heading1"/>
      </w:pPr>
      <w:r>
        <w:t>需要核查的问题</w:t>
      </w:r>
    </w:p>
    <w:p>
      <w:r>
        <w:t>□ 列明用户输入、训练与测试数据、个人信息、知识产权和供应商条款。</w:t>
      </w:r>
    </w:p>
    <w:p>
      <w:r>
        <w:t>□ 依据实际业务核对适用规则、舆论属性或社会动员能力、安全评估与备案等条件；记录现行文件与具体条款。</w:t>
      </w:r>
    </w:p>
    <w:p>
      <w:r>
        <w:t>□ 算法备案、其他适用程序、内容标识及个人信息保护不能互相替代；不能凭表格直接得出一律需备案或一律豁免。</w:t>
      </w:r>
    </w:p>
    <w:p>
      <w:pPr>
        <w:pStyle w:val="Heading1"/>
      </w:pPr>
      <w:r>
        <w:t>动作与交付</w:t>
      </w:r>
    </w:p>
    <w:p>
      <w:r>
        <w:t>□ 问题、法源与适用时间、待补事实、整改动作、责任人、交付和复核证据：________</w:t>
      </w:r>
    </w:p>
    <w:p>
      <w:r>
        <w:t>□ 律师文件、技术测试和主管机关程序分开列项；提交前复核主管机关当期指南。</w:t>
      </w:r>
    </w:p>
    <w:p>
      <w:r>
        <w:t>使用说明、服务范围与官方法源链接：https://www.jinronglawyer.com/compliance-check</w:t>
      </w:r>
    </w:p>
    <w:p>
      <w:r>
        <w:t>版本：2026年10月30日。空白准备模板，为一般信息，不构成个案法律意见、合规认证或结果承诺。填写文件请本地保存，按必要范围提供给已确认的授权接收者。北京浩略律师事务所 · 王冠律师，执业证号11101202111297085。</w:t>
      </w:r>
    </w:p>
    <w:sectPr w:rsidR="00FC693F" w:rsidRPr="0006063C" w:rsidSect="00034616"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PingFang S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AI上线与算法备案适用性自查表</dc:title>
  <dc:subject>Preparation checklist / 咨询准备清单</dc:subject>
  <dc:creator>王冠律师网站资料整理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