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金融科技合作的业务角色、资质与资金数据自查表</w:t>
      </w:r>
    </w:p>
    <w:p>
      <w:r>
        <w:t>本表用于企业合作前梳理业务，不是许可证判定、融资撮合或经营许可。</w:t>
      </w:r>
    </w:p>
    <w:p>
      <w:pPr>
        <w:pStyle w:val="Heading1"/>
      </w:pPr>
      <w:r>
        <w:t>角色与资金</w:t>
      </w:r>
    </w:p>
    <w:p>
      <w:r>
        <w:t>□ 谁提供资金、谁获客、谁作授信或交易决定、谁签约、谁收费、谁承担风险：________</w:t>
      </w:r>
    </w:p>
    <w:p>
      <w:r>
        <w:t>□ 资金账户、持有人、流入流出、清算结算、退款和是否代收代付：________</w:t>
      </w:r>
    </w:p>
    <w:p>
      <w:r>
        <w:t>□ 合作机构、许可名称、业务范围、地域及有效状态的原始核验入口：________</w:t>
      </w:r>
    </w:p>
    <w:p>
      <w:pPr>
        <w:pStyle w:val="Heading1"/>
      </w:pPr>
      <w:r>
        <w:t>数据与客户流程</w:t>
      </w:r>
    </w:p>
    <w:p>
      <w:r>
        <w:t>□ 采集哪些金融及个人信息、处理依据、共享对象、风控用途、保存与出境：________</w:t>
      </w:r>
    </w:p>
    <w:p>
      <w:r>
        <w:t>□ 定价和收费展示、用户合同、投诉、催收与外包分别由谁负责：________</w:t>
      </w:r>
    </w:p>
    <w:p>
      <w:r>
        <w:t>□ 涉及助贷、支付、征信、担保、反洗钱或其他事项时，逐项核对适用主体和当期规则，不因技术服务合同名称认定无需资质。</w:t>
      </w:r>
    </w:p>
    <w:p>
      <w:pPr>
        <w:pStyle w:val="Heading1"/>
      </w:pPr>
      <w:r>
        <w:t>差距与委托</w:t>
      </w:r>
    </w:p>
    <w:p>
      <w:r>
        <w:t>□ 实际业务与合同表述的差异、问题、待核规则、整改动作与责任人：________</w:t>
      </w:r>
    </w:p>
    <w:p>
      <w:r>
        <w:t>□ 中国法、境外许可、税务、技术和其他专业工作分别确定。</w:t>
      </w:r>
    </w:p>
    <w:p>
      <w:r>
        <w:t>□ 境内外法域及虚拟资产等事项另行核查，不提供交易、投资或规避监管指导。</w:t>
      </w:r>
    </w:p>
    <w:p>
      <w:r>
        <w:t>使用说明、服务范围与官方法源链接：https://www.jinronglawyer.com/compliance-check</w:t>
      </w:r>
    </w:p>
    <w:p>
      <w:r>
        <w:t>版本：2026年10月30日。空白准备模板，为一般信息，不构成个案法律意见、合规认证或结果承诺。填写文件请本地保存，按必要范围提供给已确认的授权接收者。北京浩略律师事务所 · 王冠律师，执业证号11101202111297085。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PingFang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金融科技合作的业务角色、资质与资金数据自查表</dc:title>
  <dc:subject>Preparation checklist / 咨询准备清单</dc:subject>
  <dc:creator>王冠律师网站资料整理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